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035856" w:rsidRPr="00B7041D" w:rsidTr="00900E08">
        <w:trPr>
          <w:trHeight w:val="300"/>
        </w:trPr>
        <w:tc>
          <w:tcPr>
            <w:tcW w:w="10598" w:type="dxa"/>
            <w:gridSpan w:val="2"/>
            <w:noWrap/>
          </w:tcPr>
          <w:p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proofErr w:type="spellStart"/>
            <w:r w:rsidRPr="00C32CC3">
              <w:rPr>
                <w:rFonts w:ascii="Times New Roman" w:hAnsi="Times New Roman"/>
                <w:color w:val="000000"/>
                <w:sz w:val="28"/>
                <w:szCs w:val="28"/>
                <w:lang w:eastAsia="en-GB"/>
              </w:rPr>
              <w:t>patients</w:t>
            </w:r>
            <w:proofErr w:type="spellEnd"/>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035856" w:rsidRPr="00C32CC3" w:rsidRDefault="00035856" w:rsidP="00900E08">
            <w:pPr>
              <w:spacing w:after="0" w:line="240" w:lineRule="auto"/>
              <w:rPr>
                <w:rFonts w:ascii="Times New Roman" w:hAnsi="Times New Roman"/>
                <w:color w:val="000000"/>
                <w:sz w:val="28"/>
                <w:szCs w:val="28"/>
                <w:lang w:eastAsia="en-GB"/>
              </w:rPr>
            </w:pPr>
          </w:p>
          <w:p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035856" w:rsidRPr="00C32CC3" w:rsidRDefault="00035856" w:rsidP="00900E08">
            <w:pPr>
              <w:spacing w:after="0" w:line="240" w:lineRule="auto"/>
              <w:rPr>
                <w:rFonts w:ascii="Times New Roman" w:hAnsi="Times New Roman"/>
                <w:color w:val="000000"/>
                <w:sz w:val="28"/>
                <w:szCs w:val="28"/>
                <w:lang w:eastAsia="en-GB"/>
              </w:rPr>
            </w:pPr>
          </w:p>
          <w:p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rsidR="00035856" w:rsidRPr="00B7041D" w:rsidRDefault="00035856" w:rsidP="00900E08">
            <w:pPr>
              <w:spacing w:after="0" w:line="240" w:lineRule="auto"/>
              <w:rPr>
                <w:rFonts w:ascii="Times New Roman" w:hAnsi="Times New Roman"/>
                <w:color w:val="000000"/>
                <w:sz w:val="24"/>
                <w:szCs w:val="24"/>
                <w:lang w:eastAsia="en-GB"/>
              </w:rPr>
            </w:pP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035856" w:rsidRPr="00B7041D" w:rsidRDefault="00035856" w:rsidP="00900E08">
            <w:pPr>
              <w:spacing w:after="0" w:line="240" w:lineRule="auto"/>
              <w:rPr>
                <w:rFonts w:ascii="Times New Roman" w:hAnsi="Times New Roman"/>
                <w:color w:val="000000"/>
                <w:sz w:val="24"/>
                <w:szCs w:val="24"/>
                <w:lang w:eastAsia="en-GB"/>
              </w:rPr>
            </w:pPr>
          </w:p>
          <w:p w:rsidR="00035856" w:rsidRPr="00B7041D" w:rsidRDefault="00035856" w:rsidP="00900E08">
            <w:pPr>
              <w:spacing w:after="0" w:line="240" w:lineRule="auto"/>
              <w:rPr>
                <w:rFonts w:ascii="Times New Roman" w:hAnsi="Times New Roman"/>
                <w:color w:val="000000"/>
                <w:sz w:val="24"/>
                <w:szCs w:val="24"/>
                <w:lang w:eastAsia="en-GB"/>
              </w:rPr>
            </w:pPr>
          </w:p>
        </w:tc>
        <w:tc>
          <w:tcPr>
            <w:tcW w:w="7371" w:type="dxa"/>
            <w:noWrap/>
          </w:tcPr>
          <w:p w:rsidR="001D02FF" w:rsidRDefault="001D02FF" w:rsidP="001D02FF">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1D02FF" w:rsidRDefault="001D02FF" w:rsidP="001D02FF">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035856" w:rsidRPr="001D02FF" w:rsidRDefault="001D02FF" w:rsidP="00900E08">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w:t>
            </w:r>
            <w:r w:rsidR="007B0BAD">
              <w:rPr>
                <w:rFonts w:ascii="Times New Roman" w:hAnsi="Times New Roman"/>
                <w:sz w:val="24"/>
                <w:szCs w:val="24"/>
                <w:lang w:eastAsia="en-GB"/>
              </w:rPr>
              <w:t>k</w:t>
            </w:r>
            <w:bookmarkStart w:id="0" w:name="_GoBack"/>
            <w:bookmarkEnd w:id="0"/>
          </w:p>
        </w:tc>
      </w:tr>
      <w:tr w:rsidR="00035856" w:rsidRPr="00B7041D" w:rsidTr="00900E08">
        <w:trPr>
          <w:trHeight w:val="300"/>
        </w:trPr>
        <w:tc>
          <w:tcPr>
            <w:tcW w:w="3227" w:type="dxa"/>
            <w:noWrap/>
          </w:tcPr>
          <w:p w:rsidR="00035856" w:rsidRPr="003902E4"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035856" w:rsidRPr="00B7041D" w:rsidRDefault="00035856" w:rsidP="00900E08">
            <w:pPr>
              <w:spacing w:after="0" w:line="240" w:lineRule="auto"/>
              <w:rPr>
                <w:rFonts w:ascii="Times New Roman" w:hAnsi="Times New Roman"/>
                <w:color w:val="000000"/>
                <w:sz w:val="24"/>
                <w:szCs w:val="24"/>
                <w:lang w:eastAsia="en-GB"/>
              </w:rPr>
            </w:pPr>
          </w:p>
        </w:tc>
        <w:tc>
          <w:tcPr>
            <w:tcW w:w="7371" w:type="dxa"/>
            <w:noWrap/>
          </w:tcPr>
          <w:p w:rsidR="00035856" w:rsidRPr="00900E08" w:rsidRDefault="00D83990" w:rsidP="00900E08">
            <w:pPr>
              <w:spacing w:after="0" w:line="240" w:lineRule="auto"/>
              <w:rPr>
                <w:rFonts w:ascii="Times New Roman" w:hAnsi="Times New Roman"/>
                <w:sz w:val="24"/>
                <w:szCs w:val="24"/>
                <w:lang w:eastAsia="en-GB"/>
              </w:rPr>
            </w:pPr>
            <w:r>
              <w:rPr>
                <w:rFonts w:ascii="Times New Roman" w:hAnsi="Times New Roman"/>
                <w:lang w:eastAsia="en-GB"/>
              </w:rPr>
              <w:t>Judith Jordan</w:t>
            </w:r>
            <w:r w:rsidR="00BC367C">
              <w:rPr>
                <w:rFonts w:ascii="Times New Roman" w:hAnsi="Times New Roman"/>
                <w:lang w:eastAsia="en-GB"/>
              </w:rPr>
              <w:t xml:space="preserve">, </w:t>
            </w:r>
            <w:r w:rsidR="00BC367C">
              <w:rPr>
                <w:rFonts w:ascii="Times New Roman" w:hAnsi="Times New Roman"/>
                <w:sz w:val="20"/>
                <w:szCs w:val="20"/>
                <w:lang w:eastAsia="en-GB"/>
              </w:rPr>
              <w:t>NHS Arden and Greater East Midlands Commissioning Support Unit </w:t>
            </w:r>
            <w:r w:rsidR="00BC367C">
              <w:rPr>
                <w:rFonts w:ascii="Times New Roman" w:hAnsi="Times New Roman"/>
                <w:lang w:eastAsia="en-GB"/>
              </w:rPr>
              <w:t>, Westgate House, Market Street, Warwick, CV34 4DE</w:t>
            </w:r>
          </w:p>
        </w:tc>
      </w:tr>
      <w:tr w:rsidR="00035856" w:rsidRPr="00B7041D" w:rsidTr="00900E08">
        <w:trPr>
          <w:trHeight w:val="145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035856" w:rsidRPr="00B7041D" w:rsidRDefault="00035856"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035856" w:rsidRPr="00E1139D" w:rsidRDefault="00035856" w:rsidP="00900E08">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035856" w:rsidRPr="002F01E4" w:rsidRDefault="00035856" w:rsidP="00900E08">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rsidR="00035856" w:rsidRPr="00E1139D" w:rsidRDefault="00035856" w:rsidP="00900E08">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035856" w:rsidRPr="002F01E4" w:rsidRDefault="00035856" w:rsidP="00900E08">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rsidR="00035856" w:rsidRDefault="00035856" w:rsidP="00900E08">
            <w:pPr>
              <w:rPr>
                <w:rFonts w:ascii="Times New Roman" w:hAnsi="Times New Roman"/>
                <w:color w:val="000000"/>
                <w:sz w:val="24"/>
                <w:szCs w:val="24"/>
              </w:rPr>
            </w:pPr>
            <w:r>
              <w:rPr>
                <w:rFonts w:ascii="Times New Roman" w:hAnsi="Times New Roman"/>
                <w:color w:val="000000"/>
                <w:sz w:val="24"/>
                <w:szCs w:val="24"/>
              </w:rPr>
              <w:t xml:space="preserve">Or alternatively </w:t>
            </w:r>
          </w:p>
          <w:p w:rsidR="00035856" w:rsidRPr="008B3F9E" w:rsidRDefault="00035856" w:rsidP="00900E08">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w:t>
            </w:r>
            <w:r w:rsidRPr="008B3F9E">
              <w:rPr>
                <w:rFonts w:ascii="Times New Roman" w:hAnsi="Times New Roman"/>
                <w:i/>
                <w:color w:val="000000"/>
                <w:sz w:val="24"/>
                <w:szCs w:val="24"/>
              </w:rPr>
              <w:lastRenderedPageBreak/>
              <w:t xml:space="preserve">or social care systems and services...”  </w:t>
            </w:r>
          </w:p>
          <w:p w:rsidR="00035856" w:rsidRDefault="00035856" w:rsidP="00900E08">
            <w:pPr>
              <w:rPr>
                <w:rFonts w:ascii="Times New Roman" w:hAnsi="Times New Roman"/>
                <w:color w:val="000000"/>
                <w:sz w:val="24"/>
                <w:szCs w:val="24"/>
                <w:lang w:eastAsia="en-GB"/>
              </w:rPr>
            </w:pPr>
          </w:p>
          <w:p w:rsidR="00035856" w:rsidRPr="00B7041D" w:rsidRDefault="00035856" w:rsidP="00900E08">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w:t>
            </w: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035856"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w:t>
            </w:r>
          </w:p>
          <w:p w:rsidR="00035856" w:rsidRDefault="00035856"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035856" w:rsidRPr="00B7041D" w:rsidRDefault="00035856" w:rsidP="00900E08">
            <w:pPr>
              <w:spacing w:after="0" w:line="240" w:lineRule="auto"/>
              <w:rPr>
                <w:rFonts w:ascii="Times New Roman" w:hAnsi="Times New Roman"/>
                <w:color w:val="000000"/>
                <w:sz w:val="24"/>
                <w:szCs w:val="24"/>
                <w:lang w:eastAsia="en-GB"/>
              </w:rPr>
            </w:pP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035856" w:rsidRPr="00B7041D" w:rsidTr="00900E08">
        <w:trPr>
          <w:trHeight w:val="300"/>
        </w:trPr>
        <w:tc>
          <w:tcPr>
            <w:tcW w:w="3227"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035856" w:rsidRPr="003902E4" w:rsidTr="00900E08">
        <w:trPr>
          <w:trHeight w:val="300"/>
        </w:trPr>
        <w:tc>
          <w:tcPr>
            <w:tcW w:w="3227" w:type="dxa"/>
            <w:noWrap/>
          </w:tcPr>
          <w:p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7371" w:type="dxa"/>
            <w:noWrap/>
          </w:tcPr>
          <w:p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7"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035856" w:rsidRPr="003902E4" w:rsidRDefault="00035856" w:rsidP="00900E08">
            <w:pPr>
              <w:spacing w:after="0" w:line="240" w:lineRule="auto"/>
              <w:rPr>
                <w:rFonts w:ascii="Times New Roman" w:hAnsi="Times New Roman"/>
                <w:color w:val="000000"/>
                <w:sz w:val="24"/>
                <w:szCs w:val="24"/>
                <w:lang w:eastAsia="en-GB"/>
              </w:rPr>
            </w:pPr>
          </w:p>
          <w:p w:rsidR="00035856" w:rsidRDefault="00035856" w:rsidP="00900E08">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754734" w:rsidRDefault="00754734"/>
    <w:sectPr w:rsidR="00754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89" w:rsidRDefault="00A87089" w:rsidP="00035856">
      <w:pPr>
        <w:spacing w:after="0" w:line="240" w:lineRule="auto"/>
      </w:pPr>
      <w:r>
        <w:separator/>
      </w:r>
    </w:p>
  </w:endnote>
  <w:endnote w:type="continuationSeparator" w:id="0">
    <w:p w:rsidR="00A87089" w:rsidRDefault="00A87089" w:rsidP="0003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37" w:rsidRDefault="00AE2437">
    <w:pPr>
      <w:pStyle w:val="Footer"/>
    </w:pPr>
    <w:r>
      <w:t>Review: May 2019</w:t>
    </w:r>
  </w:p>
  <w:p w:rsidR="00AE2437" w:rsidRDefault="00AE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89" w:rsidRDefault="00A87089" w:rsidP="00035856">
      <w:pPr>
        <w:spacing w:after="0" w:line="240" w:lineRule="auto"/>
      </w:pPr>
      <w:r>
        <w:separator/>
      </w:r>
    </w:p>
  </w:footnote>
  <w:footnote w:type="continuationSeparator" w:id="0">
    <w:p w:rsidR="00A87089" w:rsidRDefault="00A87089" w:rsidP="0003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6" w:rsidRPr="00BC367C" w:rsidRDefault="00035856">
    <w:pPr>
      <w:pStyle w:val="Header"/>
      <w:rPr>
        <w:rFonts w:ascii="Times New Roman" w:hAnsi="Times New Roman"/>
        <w:sz w:val="36"/>
        <w:szCs w:val="36"/>
      </w:rPr>
    </w:pPr>
    <w:r w:rsidRPr="00BC367C">
      <w:rPr>
        <w:rFonts w:ascii="Times New Roman" w:hAnsi="Times New Roman"/>
        <w:sz w:val="36"/>
        <w:szCs w:val="36"/>
      </w:rPr>
      <w:t>Privacy Notice: Emergency Care</w:t>
    </w:r>
  </w:p>
  <w:p w:rsidR="00035856" w:rsidRDefault="00035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56"/>
    <w:rsid w:val="00035856"/>
    <w:rsid w:val="001D02FF"/>
    <w:rsid w:val="002E2E28"/>
    <w:rsid w:val="00754734"/>
    <w:rsid w:val="007B0BAD"/>
    <w:rsid w:val="009D2DE6"/>
    <w:rsid w:val="00A7483D"/>
    <w:rsid w:val="00A87089"/>
    <w:rsid w:val="00AE2437"/>
    <w:rsid w:val="00B81D9C"/>
    <w:rsid w:val="00BC367C"/>
    <w:rsid w:val="00D8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56"/>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856"/>
    <w:rPr>
      <w:rFonts w:cs="Times New Roman"/>
      <w:color w:val="0000FF"/>
      <w:u w:val="single"/>
    </w:rPr>
  </w:style>
  <w:style w:type="paragraph" w:styleId="Header">
    <w:name w:val="header"/>
    <w:basedOn w:val="Normal"/>
    <w:link w:val="HeaderChar"/>
    <w:uiPriority w:val="99"/>
    <w:unhideWhenUsed/>
    <w:rsid w:val="0003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856"/>
    <w:rPr>
      <w:rFonts w:ascii="Calibri" w:eastAsia="Times New Roman" w:hAnsi="Calibri" w:cs="Times New Roman"/>
      <w:sz w:val="22"/>
    </w:rPr>
  </w:style>
  <w:style w:type="paragraph" w:styleId="Footer">
    <w:name w:val="footer"/>
    <w:basedOn w:val="Normal"/>
    <w:link w:val="FooterChar"/>
    <w:uiPriority w:val="99"/>
    <w:unhideWhenUsed/>
    <w:rsid w:val="0003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856"/>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56"/>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856"/>
    <w:rPr>
      <w:rFonts w:cs="Times New Roman"/>
      <w:color w:val="0000FF"/>
      <w:u w:val="single"/>
    </w:rPr>
  </w:style>
  <w:style w:type="paragraph" w:styleId="Header">
    <w:name w:val="header"/>
    <w:basedOn w:val="Normal"/>
    <w:link w:val="HeaderChar"/>
    <w:uiPriority w:val="99"/>
    <w:unhideWhenUsed/>
    <w:rsid w:val="0003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856"/>
    <w:rPr>
      <w:rFonts w:ascii="Calibri" w:eastAsia="Times New Roman" w:hAnsi="Calibri" w:cs="Times New Roman"/>
      <w:sz w:val="22"/>
    </w:rPr>
  </w:style>
  <w:style w:type="paragraph" w:styleId="Footer">
    <w:name w:val="footer"/>
    <w:basedOn w:val="Normal"/>
    <w:link w:val="FooterChar"/>
    <w:uiPriority w:val="99"/>
    <w:unhideWhenUsed/>
    <w:rsid w:val="0003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856"/>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5</cp:revision>
  <dcterms:created xsi:type="dcterms:W3CDTF">2018-05-25T09:37:00Z</dcterms:created>
  <dcterms:modified xsi:type="dcterms:W3CDTF">2018-06-11T16:13:00Z</dcterms:modified>
</cp:coreProperties>
</file>